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2CA" w:rsidRDefault="00507420" w:rsidP="00507420">
      <w:pPr>
        <w:jc w:val="center"/>
        <w:rPr>
          <w:sz w:val="24"/>
        </w:rPr>
      </w:pPr>
      <w:r w:rsidRPr="00507420">
        <w:rPr>
          <w:b/>
          <w:sz w:val="24"/>
          <w:u w:val="single"/>
        </w:rPr>
        <w:t>Equivalent Fractions:</w:t>
      </w:r>
    </w:p>
    <w:p w:rsidR="00507420" w:rsidRDefault="00507420" w:rsidP="00507420">
      <w:pPr>
        <w:jc w:val="center"/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589ACBE2" wp14:editId="2D04DCCC">
            <wp:extent cx="6645910" cy="18783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7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420" w:rsidRDefault="00507420" w:rsidP="00507420">
      <w:pPr>
        <w:rPr>
          <w:sz w:val="24"/>
        </w:rPr>
      </w:pPr>
      <w:r>
        <w:rPr>
          <w:sz w:val="24"/>
        </w:rPr>
        <w:t>Write the shaded fraction for each rectangle. Cut each section out. Match the rectangles with the equivalent amount shaded.</w:t>
      </w:r>
    </w:p>
    <w:p w:rsidR="00507420" w:rsidRDefault="00507420" w:rsidP="00507420">
      <w:pPr>
        <w:rPr>
          <w:sz w:val="24"/>
        </w:rPr>
      </w:pPr>
    </w:p>
    <w:p w:rsidR="00507420" w:rsidRPr="00507420" w:rsidRDefault="00507420" w:rsidP="00507420">
      <w:pPr>
        <w:rPr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A9FEBCA" wp14:editId="07F64716">
            <wp:extent cx="6842307" cy="5467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4926" cy="547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7420" w:rsidRPr="00507420" w:rsidSect="005074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420"/>
    <w:rsid w:val="00507420"/>
    <w:rsid w:val="00A8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E24F76-DDF3-4E4A-B1DE-1E15C623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TWS IT</Company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Lithauer</dc:creator>
  <cp:keywords/>
  <dc:description/>
  <cp:lastModifiedBy>Georgina Lithauer</cp:lastModifiedBy>
  <cp:revision>1</cp:revision>
  <dcterms:created xsi:type="dcterms:W3CDTF">2020-06-19T16:11:00Z</dcterms:created>
  <dcterms:modified xsi:type="dcterms:W3CDTF">2020-06-19T16:16:00Z</dcterms:modified>
</cp:coreProperties>
</file>